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44 vom 4. November 2024</w:t>
      </w:r>
    </w:p>
    <w:p>
      <w:r>
        <w:t>GR Gerichte, 2024-11-04, DE</w:t>
      </w:r>
    </w:p>
    <w:p>
      <w:r>
        <w:rPr>
          <w:b/>
        </w:rPr>
        <w:t xml:space="preserve">Quelle: </w:t>
      </w:r>
      <w:r>
        <w:t>https://mcp.opencaselaw.ch/entscheid/gr_gerichte_SK1 2018 44</w:t>
      </w:r>
    </w:p>
    <w:p>
      <w:r>
        <w:t>FR: GR_GERICHTE SK1 2018 44 du 4 novembre 2024</w:t>
      </w:r>
    </w:p>
    <w:p>
      <w:r>
        <w:t>IT: GR_GERICHTE SK1 2018 44 del 4 novembre 2024</w:t>
      </w:r>
    </w:p>
    <w:p>
      <w:pPr>
        <w:pStyle w:val="Heading2"/>
      </w:pPr>
      <w:r>
        <w:t>Regeste</w:t>
      </w:r>
    </w:p>
    <w:p>
      <w:r>
        <w:t>Verletzung der Verkehrsregeln | Revision von vorinstanzlichen Entscheiden (StA/Regionalgerichte etc.)</w:t>
      </w:r>
    </w:p>
    <w:p>
      <w:pPr>
        <w:pStyle w:val="Heading2"/>
      </w:pPr>
      <w:r>
        <w:t>Erwägungen</w:t>
      </w:r>
    </w:p>
    <w:p>
      <w:r>
        <w:rPr>
          <w:b/>
        </w:rPr>
        <w:t>E. 1</w:t>
      </w:r>
    </w:p>
    <w:p>
      <w:r>
        <w:t>Mit der Einstellung des gegen A._____ geführten Strafverfahren ist das vor- liegende Revisionsverfahren gegenstandslos geworden und ist abzuschreiben.</w:t>
      </w:r>
    </w:p>
    <w:p>
      <w:r>
        <w:rPr>
          <w:b/>
        </w:rPr>
        <w:t>E. 2</w:t>
      </w:r>
    </w:p>
    <w:p>
      <w:r>
        <w:t>Für das Verfahren von der Beschwerdeinstanz wurde A._____ bereits ent- schädigt. Zu beurteilen ist einzig noch die Kosten- und Entschädigungsfolge im vorliegenden Revisionsverfahren. Wird ein Verfahren als gegenstandslos abgeschrieben, ist bei der Beurteilung der Kosten- und Entschädigungsfolgen in erster Linie auf den mutmasslichen Ausgang des Prozesses abzustellen (BGE 125 V 373 E. 2a). Dabei geht es nicht darum, die Prozessaussichten im Einzelnen zu prüfen und dadurch weitere Umtriebe zu ver- ursachen. Vielmehr muss es bei einer knappen Beurteilung der Aktenlage sein Bewenden haben. Auf dem Weg über den Kostenentscheid soll nicht ein materiel- les Urteil gefällt und unter Umständen der Entscheid in einer heiklen Rechtsfrage präjudiziert werden. Lässt sich der mutmassliche Ausgang eines Verfahrens im konkreten Fall nicht ohne weiteres feststellen, ist auf allgemein zivilprozessrechtli- che Kriterien zurückzugreifen. Danach wird in erster Linie jene Partei kosten- und entschädigungspflichtig, die das gegenstandslos gewordene Verfahren veranlasst oder bei der die Gründe eingetreten sind, die zur Gegenstandslosigkeit des Ver- fahrens geführt haben (BGE 142 V 551 E. 8.2; BGE 118 Ia 488 E. 4a; BGer 2C_622/2016 v. 31.3.2017 E. 3.1; je mit Hinweisen).</w:t>
      </w:r>
    </w:p>
    <w:p>
      <w:r>
        <w:rPr>
          <w:b/>
        </w:rPr>
        <w:t>E. 3</w:t>
      </w:r>
    </w:p>
    <w:p>
      <w:r>
        <w:t>A._____ hat die Gegenstandslosigkeit nicht veranlasst. Diese ist auf die Gutheissung seines Rechtsmittels im Verfahren vor der Beschwerdeinstanz zurückzuführen. Die Kosten des Verfahrens sind daher auf die Staatskasse zu nehmen und A._____ hat Anspruch auf eine angemessene Entschädigung. In seiner Honorarnote vom 3. Juni 2019 macht der Rechtsvertreter von A._____, Rechtsanwalt Remo Cahenzli, einen Aufwand von insgesamt 10 Stunden und 45 Minuten geltend. Der vereinbarte Stundenansatz beträgt CHF 250.00. Weder der Zeitaufwand noch der Stundenansatz sind zu beanstanden. Als übermässig er-</w:t>
      </w:r>
    </w:p>
    <w:p>
      <w:r>
        <w:rPr>
          <w:b/>
        </w:rPr>
        <w:t>E. 4</w:t>
      </w:r>
    </w:p>
    <w:p>
      <w:r>
        <w:t>Die Abschreibung erfolgt einzelrichterlich (Art. 388 Abs. 2 StPO, Art. 9 Abs. 2 GOG).</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